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/>
          <w:b/>
          <w:sz w:val="48"/>
          <w:szCs w:val="48"/>
        </w:rPr>
      </w:pPr>
    </w:p>
    <w:p>
      <w:pPr>
        <w:jc w:val="center"/>
        <w:rPr>
          <w:rFonts w:hint="eastAsia" w:asciiTheme="minorEastAsia" w:hAnsiTheme="minorEastAsia" w:eastAsiaTheme="minorEastAsia"/>
          <w:b/>
          <w:sz w:val="52"/>
          <w:szCs w:val="52"/>
        </w:rPr>
      </w:pPr>
      <w:r>
        <w:rPr>
          <w:rFonts w:hint="eastAsia" w:asciiTheme="minorEastAsia" w:hAnsiTheme="minorEastAsia" w:eastAsiaTheme="minorEastAsia"/>
          <w:b/>
          <w:sz w:val="52"/>
          <w:szCs w:val="52"/>
        </w:rPr>
        <w:t>KYDBJ-200接地故障报警装置</w:t>
      </w:r>
    </w:p>
    <w:p>
      <w:pPr>
        <w:jc w:val="center"/>
        <w:rPr>
          <w:rFonts w:hint="eastAsia" w:ascii="楷体" w:hAnsi="楷体" w:eastAsia="楷体" w:cs="楷体"/>
          <w:b/>
          <w:sz w:val="84"/>
          <w:szCs w:val="84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b/>
          <w:sz w:val="84"/>
          <w:szCs w:val="84"/>
          <w:lang w:val="en-US" w:eastAsia="zh-CN"/>
        </w:rPr>
      </w:pPr>
      <w:r>
        <w:rPr>
          <w:rFonts w:hint="eastAsia" w:ascii="楷体" w:hAnsi="楷体" w:eastAsia="楷体" w:cs="楷体"/>
          <w:b/>
          <w:sz w:val="84"/>
          <w:szCs w:val="84"/>
          <w:lang w:val="en-US" w:eastAsia="zh-CN"/>
        </w:rPr>
        <w:t>说明书</w:t>
      </w:r>
    </w:p>
    <w:p>
      <w:pPr>
        <w:ind w:firstLine="560"/>
        <w:jc w:val="center"/>
        <w:rPr>
          <w:rFonts w:hint="eastAsia" w:asciiTheme="minorEastAsia" w:hAnsiTheme="minorEastAsia" w:eastAsiaTheme="minorEastAsia"/>
          <w:b/>
          <w:sz w:val="48"/>
          <w:szCs w:val="48"/>
          <w:lang w:val="en-US" w:eastAsia="zh-CN"/>
        </w:rPr>
      </w:pPr>
    </w:p>
    <w:p>
      <w:pPr>
        <w:ind w:firstLine="560"/>
        <w:jc w:val="center"/>
        <w:rPr>
          <w:rFonts w:hint="eastAsia" w:asciiTheme="minorEastAsia" w:hAnsiTheme="minorEastAsia" w:eastAsiaTheme="minorEastAsia"/>
          <w:b/>
          <w:sz w:val="48"/>
          <w:szCs w:val="48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48"/>
          <w:szCs w:val="48"/>
          <w:lang w:val="en-US" w:eastAsia="zh-CN"/>
        </w:rPr>
        <w:drawing>
          <wp:inline distT="0" distB="0" distL="114300" distR="114300">
            <wp:extent cx="5258435" cy="3367405"/>
            <wp:effectExtent l="0" t="0" r="12065" b="10795"/>
            <wp:docPr id="1" name="图片 1" descr="微信图片_202304211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211418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ind w:firstLine="560"/>
        <w:jc w:val="center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pStyle w:val="2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pStyle w:val="2"/>
        <w:rPr>
          <w:rFonts w:hint="eastAsia" w:asciiTheme="minorEastAsia" w:hAnsiTheme="minorEastAsia" w:eastAsiaTheme="minorEastAsia"/>
          <w:b/>
          <w:sz w:val="32"/>
          <w:szCs w:val="32"/>
        </w:rPr>
      </w:pPr>
    </w:p>
    <w:p>
      <w:pPr>
        <w:pStyle w:val="2"/>
        <w:jc w:val="center"/>
        <w:rPr>
          <w:rFonts w:hint="eastAsia" w:asciiTheme="minorEastAsia" w:hAnsiTheme="minorEastAsia" w:eastAsiaTheme="minorEastAsia"/>
          <w:b/>
          <w:bCs w:val="0"/>
          <w:sz w:val="32"/>
          <w:szCs w:val="32"/>
        </w:rPr>
      </w:pPr>
    </w:p>
    <w:p>
      <w:pPr>
        <w:jc w:val="center"/>
        <w:rPr>
          <w:rFonts w:hint="eastAsia" w:asciiTheme="minorEastAsia" w:hAnsiTheme="minorEastAsia" w:eastAsiaTheme="minorEastAsia"/>
          <w:b/>
          <w:bCs w:val="0"/>
          <w:sz w:val="52"/>
          <w:szCs w:val="52"/>
        </w:rPr>
      </w:pPr>
      <w:r>
        <w:rPr>
          <w:rFonts w:hint="eastAsia" w:asciiTheme="minorEastAsia" w:hAnsiTheme="minorEastAsia" w:eastAsiaTheme="minorEastAsia"/>
          <w:b/>
          <w:bCs w:val="0"/>
          <w:sz w:val="52"/>
          <w:szCs w:val="52"/>
        </w:rPr>
        <w:t>安徽凯宇电气有限公司</w:t>
      </w:r>
    </w:p>
    <w:p>
      <w:pPr>
        <w:pStyle w:val="2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pStyle w:val="2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pStyle w:val="2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pStyle w:val="2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ind w:right="601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目录</w:t>
      </w:r>
    </w:p>
    <w:p>
      <w:pPr>
        <w:pStyle w:val="7"/>
        <w:tabs>
          <w:tab w:val="left" w:pos="420"/>
          <w:tab w:val="right" w:leader="dot" w:pos="9571"/>
        </w:tabs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TOC \o "1-5" \u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概述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</w:t>
      </w:r>
    </w:p>
    <w:p>
      <w:pPr>
        <w:pStyle w:val="7"/>
        <w:tabs>
          <w:tab w:val="left" w:pos="420"/>
          <w:tab w:val="right" w:leader="dot" w:pos="9571"/>
        </w:tabs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工作原理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</w:t>
      </w:r>
    </w:p>
    <w:p>
      <w:pPr>
        <w:pStyle w:val="7"/>
        <w:tabs>
          <w:tab w:val="left" w:pos="420"/>
          <w:tab w:val="right" w:leader="dot" w:pos="9571"/>
        </w:tabs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三、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型号说明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</w:t>
      </w:r>
    </w:p>
    <w:p>
      <w:pPr>
        <w:pStyle w:val="7"/>
        <w:tabs>
          <w:tab w:val="left" w:pos="420"/>
          <w:tab w:val="right" w:leader="dot" w:pos="9571"/>
        </w:tabs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四、技术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指标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</w:t>
      </w:r>
    </w:p>
    <w:p>
      <w:pPr>
        <w:pStyle w:val="8"/>
        <w:tabs>
          <w:tab w:val="left" w:pos="1470"/>
          <w:tab w:val="right" w:leader="dot" w:pos="9571"/>
        </w:tabs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/>
        </w:rPr>
        <w:t xml:space="preserve">.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环境参数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</w:t>
      </w:r>
    </w:p>
    <w:p>
      <w:pPr>
        <w:pStyle w:val="8"/>
        <w:tabs>
          <w:tab w:val="left" w:pos="1470"/>
          <w:tab w:val="right" w:leader="dot" w:pos="9571"/>
        </w:tabs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 技术参数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</w:t>
      </w:r>
    </w:p>
    <w:p>
      <w:pPr>
        <w:pStyle w:val="8"/>
        <w:tabs>
          <w:tab w:val="left" w:pos="1470"/>
          <w:tab w:val="right" w:leader="dot" w:pos="9571"/>
        </w:tabs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kern w:val="44"/>
          <w:sz w:val="24"/>
          <w:szCs w:val="24"/>
          <w:lang w:val="en-US" w:eastAsia="zh-CN"/>
        </w:rPr>
        <w:t xml:space="preserve">3.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功能特点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</w:t>
      </w:r>
    </w:p>
    <w:p>
      <w:pPr>
        <w:pStyle w:val="7"/>
        <w:tabs>
          <w:tab w:val="left" w:pos="420"/>
          <w:tab w:val="right" w:leader="dot" w:pos="9571"/>
        </w:tabs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五、装置调试说明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</w:t>
      </w:r>
    </w:p>
    <w:p>
      <w:pPr>
        <w:pStyle w:val="7"/>
        <w:tabs>
          <w:tab w:val="left" w:pos="420"/>
          <w:tab w:val="right" w:leader="dot" w:pos="9571"/>
        </w:tabs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六、装置外形及安装尺寸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8</w:t>
      </w:r>
    </w:p>
    <w:p>
      <w:pPr>
        <w:pStyle w:val="7"/>
        <w:tabs>
          <w:tab w:val="left" w:pos="420"/>
          <w:tab w:val="right" w:leader="dot" w:pos="9571"/>
        </w:tabs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七、运输及贮存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</w:t>
      </w:r>
    </w:p>
    <w:p>
      <w:pPr>
        <w:pStyle w:val="8"/>
        <w:tabs>
          <w:tab w:val="left" w:pos="1470"/>
          <w:tab w:val="right" w:leader="dot" w:pos="9571"/>
        </w:tabs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. 运输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</w:t>
      </w:r>
    </w:p>
    <w:p>
      <w:pPr>
        <w:pStyle w:val="8"/>
        <w:tabs>
          <w:tab w:val="left" w:pos="1470"/>
          <w:tab w:val="right" w:leader="dot" w:pos="9571"/>
        </w:tabs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. 贮存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</w:t>
      </w:r>
    </w:p>
    <w:p>
      <w:pPr>
        <w:pStyle w:val="7"/>
        <w:tabs>
          <w:tab w:val="left" w:pos="420"/>
          <w:tab w:val="right" w:leader="dot" w:pos="9571"/>
        </w:tabs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八、质量保证及服务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</w:t>
      </w:r>
    </w:p>
    <w:p>
      <w:pPr>
        <w:pStyle w:val="8"/>
        <w:tabs>
          <w:tab w:val="left" w:pos="1470"/>
          <w:tab w:val="right" w:leader="dot" w:pos="9571"/>
        </w:tabs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. 质量保证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</w:t>
      </w:r>
    </w:p>
    <w:p>
      <w:pPr>
        <w:pStyle w:val="8"/>
        <w:tabs>
          <w:tab w:val="left" w:pos="1470"/>
          <w:tab w:val="right" w:leader="dot" w:pos="9571"/>
        </w:tabs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. 保修办法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</w:t>
      </w:r>
    </w:p>
    <w:p>
      <w:pPr>
        <w:pStyle w:val="7"/>
        <w:tabs>
          <w:tab w:val="left" w:pos="630"/>
          <w:tab w:val="right" w:leader="dot" w:pos="9571"/>
        </w:tabs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九、订货须知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概述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我国35kV及以下的电网大多采用中性点不接地运行方式，即小电流接地系统，它包括中性点不接地系统、中性点经消弧线圈接地系统、中性点经电阻接地系统。在这类电网中发生单相接地故障时，电网可带接地故障继续运行1-2h，接地保护动作于信号，由运行人员采取措施，转换负荷或手动切除故障线路。但随着国民经济发展，系统容量增加，特别是目前电力电缆的大量使用，电容电流也在加大，弧光接地引起的过电压倍数甚高，发生电缆爆炸、烧毁，甚至烧毁母线、机组停运的恶性事故时有发生，对安全生产影响极大，因此对小电流接地选线保护装置的快速准确有了更高的要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目前的小电流选线保护装置是采集多个模拟信号，再根据检测到的模拟信号，进行信号的转换计算，做出故障判断，但是随着模拟量的增多，会出线信号衰减，干扰增大，信号采集、转换、计算时间过长等问题，影响故障判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为此，我公司研发出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KYDBJ-200</w:t>
      </w:r>
      <w:r>
        <w:rPr>
          <w:rFonts w:hint="eastAsia" w:asciiTheme="minorEastAsia" w:hAnsiTheme="minorEastAsia" w:eastAsiaTheme="minorEastAsia"/>
          <w:sz w:val="24"/>
          <w:szCs w:val="24"/>
        </w:rPr>
        <w:t>接地故障报警装置，本装置本身就是一个完整的保护单元，具有完善的信号检测、转换和计算、报警功能；每个装置都可以自身检测判断故障信息；另外装置设有通信接口，可设置中央处理单元，各装置可通过现场总线方式与中央处理单元进行通讯，使各装置间的数据传输能在极短的时间内完成，获得各装置的故障判据信息，以做出正确的判断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工作原理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在无消弧线圈的系统中，可单独就地安装于现场每条出线开关柜上，零序TA的二次回路和跳闸出口回路就地连接，节省电缆、减少干扰，切易于安装维护，各装置之间相互独立，一台退出运行不影响其他各台的运行，提高了系统的可靠性和可维护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在安装有消弧线圈的系统中，可使用通讯接口，各装置连接在中央处理单元上，正常运行时，监视系统零序电压，一旦发生单相接地时，中央处理单元启动所有接地故障报警装置执行故障判断程序，同时记录接地信息并向主控室发送单相接地报警信息，所有接地故障报警装置接到中央处理单元的故障启动命令后，将同时独立的各自进入其故障处理工作流程，判断接地线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型号说明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  <w:t>型号：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KYDBJ-200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  <w:lang w:eastAsia="zh-CN"/>
        </w:rPr>
        <w:t>KYD:</w:t>
      </w:r>
      <w: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安徽凯宇电气有限公司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  <w:lang w:eastAsia="zh-CN"/>
        </w:rPr>
        <w:t>BJ:</w:t>
      </w:r>
      <w: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接地故障报警装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置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eastAsia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  <w:lang w:eastAsia="zh-CN"/>
        </w:rPr>
        <w:t>200:</w:t>
      </w:r>
      <w:r>
        <w:rPr>
          <w:rFonts w:hint="eastAsia" w:asciiTheme="minorEastAsia" w:hAnsiTheme="minorEastAsia" w:eastAsiaTheme="minor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设计序号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center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技术指标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环境参数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户内使用，通风应良好 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环境温度：-45℃ ～ +55℃。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相对湿度：小于90%，表面无凝露 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大气压力：80 ～ 110Kpa 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海拔高度：&lt; 4000m 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周围介质无导电尘埃与导致金属或使绝缘损坏的腐蚀性气体、霉菌等。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安装地点具有防风、防雨、防尘设施。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技术参数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工作电源： DC12V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功耗≤10W。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零序电流输入范围：20～1000mA（超过此值特殊声明）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通讯接口：RS485/RS232。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通讯规约：内置MODBUS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报警接点容量：AC250V/5A，DC 30V/ 5A。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功能特点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采用彩色触摸屏显示，可显示零序电流值及电流实时波形、装置地址、零序电流、线路编号、时间、接地状态等，界面丰富直观，操作方便。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装置小巧灵活，可单独安装于开关柜上，也可多台装置组屏安装。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零序电流检测：当系统正常运行时，自动跟踪系统零序电流变化，并根据电流启动值判断系统运行情况。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故障报警：当系统发生单相接地时，装置可发出报警信号。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接地时间记录功能：可以记录接地故障的起始时间和故障结的结束时间。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接地信息记录功能：当系统发生单相接地时，装置可以对系统的故障电流、电流波形、故障时间的进行记录存储，便于人们对故障进行分析。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CT变比可设：根据实际零序互感器的变比，可现场灵活设置所选互感器的变比值。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接地可设阀值：可设置装置判定接地报警的门限值。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线路编号可设：可设置对应开关柜线路编号。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校时功能：可以对设备进行校时。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装置具有自检功能，可通过自检对设备自身状态进行检测判断。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远传功能：装置具有与远动装置的接口功能，可提供标准的485接口。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该装置可检测开关柜内零序电流互感器的零序电流信号，当零序电流信号超过预设定值时，发出一个报警信号，并可实时显示波形。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both"/>
        <w:textAlignment w:val="auto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装置调试说明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1.控制器工作电压：DC12V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2.接口：RS232，RS485，电流信号输入，干节点输出。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3.主芯片下载程序通过串口485进行，且232和485均可以和后台进行通讯。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4.电流信号输入接口：开关柜零序电流互感器二次电流信号，注意电流极性。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5.</w:t>
      </w:r>
      <w:r>
        <w:rPr>
          <w:rFonts w:asciiTheme="minorEastAsia" w:hAnsiTheme="minorEastAsia" w:eastAsiaTheme="minorEastAsia"/>
          <w:sz w:val="24"/>
          <w:szCs w:val="24"/>
        </w:rPr>
        <w:t>输出信号为一组干节点信号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当装置判定接地时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该节点动作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6.液晶触控类型：电阻触控屏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790950" cy="2155825"/>
            <wp:effectExtent l="0" t="0" r="381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7.</w:t>
      </w:r>
      <w:r>
        <w:rPr>
          <w:rFonts w:hint="eastAsia" w:asciiTheme="minorEastAsia" w:hAnsiTheme="minorEastAsia" w:eastAsiaTheme="minorEastAsia"/>
          <w:sz w:val="24"/>
          <w:szCs w:val="24"/>
        </w:rPr>
        <w:t>装置功能：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显示数据：实时波形，装置地址，零序电流，线路编号，时间。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运行工况：正常，故障，接地。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功能选项：查询，设置，校时，自检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查询：可以查询接地时电流，柜体编号，波形，接地起止时间。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425" w:leftChars="0" w:hanging="425" w:firstLine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装置在接地结束后，可以自动存储信息，也可以人为清空存储信息。</w:t>
      </w:r>
    </w:p>
    <w:p>
      <w:pPr>
        <w:pStyle w:val="12"/>
        <w:ind w:left="0" w:leftChars="0" w:firstLine="0" w:firstLineChars="0"/>
        <w:jc w:val="center"/>
      </w:pPr>
      <w:r>
        <w:drawing>
          <wp:inline distT="0" distB="0" distL="0" distR="0">
            <wp:extent cx="3553460" cy="2025015"/>
            <wp:effectExtent l="0" t="0" r="12700" b="19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8.</w:t>
      </w:r>
      <w:r>
        <w:rPr>
          <w:rFonts w:hint="eastAsia" w:asciiTheme="minorEastAsia" w:hAnsiTheme="minorEastAsia" w:eastAsiaTheme="minorEastAsia"/>
          <w:sz w:val="24"/>
          <w:szCs w:val="24"/>
        </w:rPr>
        <w:t>设置：装置初始密码-1234，顺序为：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>输入密码-1234-EN-校验密码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就可以进入设置界面。</w:t>
      </w:r>
    </w:p>
    <w:p>
      <w:pPr>
        <w:pStyle w:val="12"/>
        <w:ind w:left="0" w:leftChars="0" w:firstLine="0" w:firstLineChars="0"/>
        <w:jc w:val="center"/>
      </w:pPr>
      <w:r>
        <w:drawing>
          <wp:inline distT="0" distB="0" distL="0" distR="0">
            <wp:extent cx="3599180" cy="2042795"/>
            <wp:effectExtent l="0" t="0" r="12700" b="146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0" w:leftChars="0" w:firstLine="0" w:firstLineChars="0"/>
        <w:jc w:val="center"/>
      </w:pPr>
      <w:r>
        <w:drawing>
          <wp:inline distT="0" distB="0" distL="0" distR="0">
            <wp:extent cx="3514725" cy="2002790"/>
            <wp:effectExtent l="0" t="0" r="5715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9.</w:t>
      </w:r>
      <w:r>
        <w:rPr>
          <w:rFonts w:hint="eastAsia" w:asciiTheme="minorEastAsia" w:hAnsiTheme="minorEastAsia" w:eastAsiaTheme="minorEastAsia"/>
          <w:sz w:val="24"/>
          <w:szCs w:val="24"/>
        </w:rPr>
        <w:t>装置地址：串口通讯时，各台控制器对应编号。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10.</w:t>
      </w:r>
      <w:r>
        <w:rPr>
          <w:rFonts w:hint="eastAsia" w:asciiTheme="minorEastAsia" w:hAnsiTheme="minorEastAsia" w:eastAsiaTheme="minorEastAsia"/>
          <w:sz w:val="24"/>
          <w:szCs w:val="24"/>
        </w:rPr>
        <w:t>CT变比：根据实际零序互感器进行设定，设定值为最简比。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11.</w:t>
      </w:r>
      <w:r>
        <w:rPr>
          <w:rFonts w:hint="eastAsia" w:asciiTheme="minorEastAsia" w:hAnsiTheme="minorEastAsia" w:eastAsiaTheme="minorEastAsia"/>
          <w:sz w:val="24"/>
          <w:szCs w:val="24"/>
        </w:rPr>
        <w:t>接地阀值：装置判定接地报警的门限值。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12.</w:t>
      </w:r>
      <w:r>
        <w:rPr>
          <w:rFonts w:hint="eastAsia" w:asciiTheme="minorEastAsia" w:hAnsiTheme="minorEastAsia" w:eastAsiaTheme="minorEastAsia"/>
          <w:sz w:val="24"/>
          <w:szCs w:val="24"/>
        </w:rPr>
        <w:t>线路编号：对应开关柜线路编号。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Chars="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13.</w:t>
      </w:r>
      <w:r>
        <w:rPr>
          <w:rFonts w:hint="eastAsia" w:asciiTheme="minorEastAsia" w:hAnsiTheme="minorEastAsia" w:eastAsiaTheme="minorEastAsia"/>
          <w:sz w:val="24"/>
          <w:szCs w:val="24"/>
        </w:rPr>
        <w:t>波形系数：矫正波形，可调节波形幅值。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Chars="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14.</w:t>
      </w:r>
      <w:r>
        <w:rPr>
          <w:rFonts w:asciiTheme="minorEastAsia" w:hAnsiTheme="minorEastAsia" w:eastAsiaTheme="minorEastAsia"/>
          <w:sz w:val="24"/>
          <w:szCs w:val="24"/>
        </w:rPr>
        <w:t>校时功能</w:t>
      </w:r>
      <w:r>
        <w:rPr>
          <w:rFonts w:hint="eastAsia" w:asciiTheme="minorEastAsia" w:hAnsiTheme="minorEastAsia" w:eastAsiaTheme="minorEastAsia"/>
          <w:sz w:val="24"/>
          <w:szCs w:val="24"/>
        </w:rPr>
        <w:t>：</w:t>
      </w:r>
      <w:r>
        <w:rPr>
          <w:rFonts w:asciiTheme="minorEastAsia" w:hAnsiTheme="minorEastAsia" w:eastAsiaTheme="minorEastAsia"/>
          <w:sz w:val="24"/>
          <w:szCs w:val="24"/>
        </w:rPr>
        <w:t>可以人为对设备进行校时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>
      <w:pPr>
        <w:jc w:val="center"/>
      </w:pPr>
      <w:r>
        <w:drawing>
          <wp:inline distT="0" distB="0" distL="0" distR="0">
            <wp:extent cx="3519170" cy="1993900"/>
            <wp:effectExtent l="0" t="0" r="1270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3632200" cy="2058035"/>
            <wp:effectExtent l="0" t="0" r="10160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pStyle w:val="2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pStyle w:val="2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pStyle w:val="2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pStyle w:val="2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pStyle w:val="2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pStyle w:val="2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pStyle w:val="2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装置外形及安装尺寸</w:t>
      </w:r>
    </w:p>
    <w:p>
      <w:pPr>
        <w:adjustRightInd/>
        <w:snapToGrid/>
        <w:spacing w:after="0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800600" cy="364236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2746375" cy="3914775"/>
            <wp:effectExtent l="0" t="0" r="12065" b="1905"/>
            <wp:docPr id="14" name="图片 14" descr="C:\Users\Administrator\AppData\Roaming\Tencent\Users\1591267047\QQ\WinTemp\RichOle\ECAS[JGD5~1TY16QE[L6)8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AppData\Roaming\Tencent\Users\1591267047\QQ\WinTemp\RichOle\ECAS[JGD5~1TY16QE[L6)8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t>运输及贮存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运输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包装好的产品在运输过程中的贮存温度为-25℃～+55℃，相对湿度不大于95%。产品可承受在此环境中的短时贮存。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贮存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包装好的产品应贮存在-10℃～+55℃、相对湿度不大于80%、周围空气中不含有腐蚀性、火灾及爆炸性物质的室内。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t>质量保证及服务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质量保证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产品出厂后，在用户完全遵守本产品说明书规定的运输、贮存、安装和使用要求的情况下，产品自出厂之日起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instrText xml:space="preserve"> = 1 \* CHINESENUM3 </w:instrTex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年内，如发现产品及其配套件发生非人为损坏，制造厂负责免费修理或更换。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保修办法</w:t>
      </w:r>
    </w:p>
    <w:p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在符合质量保证条款规定下，在保修期内出现质量问题，制造厂负责更换或维修；</w:t>
      </w:r>
    </w:p>
    <w:p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在符合质量保证条款规定下，超出保修期限所出现质量问题，由用户同制造厂协商，采取有偿方式进行更换或维修；</w:t>
      </w:r>
    </w:p>
    <w:p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超出质量保证条款规定所出现的质量问题，用户应同制造厂协商，采取有偿方式更换或维修。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t>订货须知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产品型号、名称及订货数量。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零序电流输入范围。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装置安装方式（单独安装或组屏安装）。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系统中是否安装有消弧线圈装置。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关于装置的通讯规约注意事项：本装置内置的通讯规约为MODBUS，如需其它形式的规约要求时，订货前请另行说明。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其他特殊要求，订货前请另行说明。</w:t>
      </w:r>
    </w:p>
    <w:p>
      <w:pPr>
        <w:adjustRightInd/>
        <w:snapToGrid/>
        <w:spacing w:after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footerReference r:id="rId5" w:type="default"/>
      <w:pgSz w:w="11906" w:h="16838"/>
      <w:pgMar w:top="1440" w:right="1080" w:bottom="1440" w:left="1080" w:header="708" w:footer="708" w:gutter="0"/>
      <w:pgNumType w:fmt="numberInDash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LlhuQT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F94122"/>
    <w:multiLevelType w:val="singleLevel"/>
    <w:tmpl w:val="AFF9412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9C8EA1D"/>
    <w:multiLevelType w:val="singleLevel"/>
    <w:tmpl w:val="F9C8EA1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FB0BBB25"/>
    <w:multiLevelType w:val="singleLevel"/>
    <w:tmpl w:val="FB0BBB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1CE25F0"/>
    <w:multiLevelType w:val="singleLevel"/>
    <w:tmpl w:val="01CE25F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020FDEF7"/>
    <w:multiLevelType w:val="singleLevel"/>
    <w:tmpl w:val="020FDEF7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4E8034E2"/>
    <w:multiLevelType w:val="singleLevel"/>
    <w:tmpl w:val="4E8034E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6240913"/>
    <w:multiLevelType w:val="singleLevel"/>
    <w:tmpl w:val="5624091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6BDC42D"/>
    <w:multiLevelType w:val="singleLevel"/>
    <w:tmpl w:val="56BDC42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8">
    <w:nsid w:val="5855195E"/>
    <w:multiLevelType w:val="singleLevel"/>
    <w:tmpl w:val="5855195E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61027897"/>
    <w:multiLevelType w:val="singleLevel"/>
    <w:tmpl w:val="61027897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720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0Mzk2ODFmZmNiYTY2YzViN2ZkZmJlZmVmMDY2NWYifQ=="/>
  </w:docVars>
  <w:rsids>
    <w:rsidRoot w:val="00D31D50"/>
    <w:rsid w:val="00044184"/>
    <w:rsid w:val="000860A7"/>
    <w:rsid w:val="001255FE"/>
    <w:rsid w:val="0016288B"/>
    <w:rsid w:val="001960F5"/>
    <w:rsid w:val="001C6C13"/>
    <w:rsid w:val="00227756"/>
    <w:rsid w:val="00234318"/>
    <w:rsid w:val="0025362F"/>
    <w:rsid w:val="003147BD"/>
    <w:rsid w:val="00320AA6"/>
    <w:rsid w:val="00323B43"/>
    <w:rsid w:val="003D37D8"/>
    <w:rsid w:val="00426133"/>
    <w:rsid w:val="004358AB"/>
    <w:rsid w:val="004704F0"/>
    <w:rsid w:val="004A4B24"/>
    <w:rsid w:val="004F7399"/>
    <w:rsid w:val="00667897"/>
    <w:rsid w:val="00671463"/>
    <w:rsid w:val="00677007"/>
    <w:rsid w:val="00765763"/>
    <w:rsid w:val="008630FC"/>
    <w:rsid w:val="008B7726"/>
    <w:rsid w:val="009036E3"/>
    <w:rsid w:val="00A00723"/>
    <w:rsid w:val="00A469E0"/>
    <w:rsid w:val="00A548C1"/>
    <w:rsid w:val="00A57046"/>
    <w:rsid w:val="00A7213F"/>
    <w:rsid w:val="00A91859"/>
    <w:rsid w:val="00AD3CD4"/>
    <w:rsid w:val="00BD0EE9"/>
    <w:rsid w:val="00C01F2F"/>
    <w:rsid w:val="00C651D5"/>
    <w:rsid w:val="00CB2217"/>
    <w:rsid w:val="00D31D50"/>
    <w:rsid w:val="00F16D85"/>
    <w:rsid w:val="00F5277C"/>
    <w:rsid w:val="0D33212C"/>
    <w:rsid w:val="19410F2F"/>
    <w:rsid w:val="1F581989"/>
    <w:rsid w:val="344147E7"/>
    <w:rsid w:val="36743E79"/>
    <w:rsid w:val="38EA6CD2"/>
    <w:rsid w:val="3C3F3A01"/>
    <w:rsid w:val="41383E02"/>
    <w:rsid w:val="4AFC3CCA"/>
    <w:rsid w:val="545E5D37"/>
    <w:rsid w:val="551D72DD"/>
    <w:rsid w:val="5A7043C4"/>
    <w:rsid w:val="5E5E0D7D"/>
    <w:rsid w:val="621357FA"/>
    <w:rsid w:val="65A27F83"/>
    <w:rsid w:val="68EA4EF1"/>
    <w:rsid w:val="71F3144B"/>
    <w:rsid w:val="737A1782"/>
    <w:rsid w:val="75DC0B17"/>
    <w:rsid w:val="795E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qFormat="1" w:unhideWhenUsed="0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4">
    <w:name w:val="Balloon Text"/>
    <w:basedOn w:val="1"/>
    <w:link w:val="13"/>
    <w:semiHidden/>
    <w:unhideWhenUsed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5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4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  <w:pPr>
      <w:spacing w:before="120" w:beforeLines="0" w:after="120" w:afterLines="0"/>
      <w:jc w:val="left"/>
    </w:pPr>
    <w:rPr>
      <w:b/>
      <w:bCs/>
      <w:caps/>
      <w:sz w:val="20"/>
      <w:szCs w:val="20"/>
    </w:rPr>
  </w:style>
  <w:style w:type="paragraph" w:styleId="8">
    <w:name w:val="toc 4"/>
    <w:basedOn w:val="1"/>
    <w:next w:val="1"/>
    <w:qFormat/>
    <w:uiPriority w:val="39"/>
    <w:pPr>
      <w:ind w:left="630"/>
      <w:jc w:val="left"/>
    </w:pPr>
    <w:rPr>
      <w:sz w:val="18"/>
      <w:szCs w:val="18"/>
    </w:rPr>
  </w:style>
  <w:style w:type="character" w:customStyle="1" w:styleId="11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10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4">
    <w:name w:val="页眉 Char"/>
    <w:basedOn w:val="10"/>
    <w:link w:val="6"/>
    <w:semiHidden/>
    <w:qFormat/>
    <w:uiPriority w:val="99"/>
    <w:rPr>
      <w:rFonts w:ascii="Tahoma" w:hAnsi="Tahoma"/>
      <w:sz w:val="18"/>
      <w:szCs w:val="18"/>
    </w:rPr>
  </w:style>
  <w:style w:type="character" w:customStyle="1" w:styleId="15">
    <w:name w:val="页脚 Char"/>
    <w:basedOn w:val="10"/>
    <w:link w:val="5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2501</Words>
  <Characters>2674</Characters>
  <Lines>6</Lines>
  <Paragraphs>1</Paragraphs>
  <TotalTime>8</TotalTime>
  <ScaleCrop>false</ScaleCrop>
  <LinksUpToDate>false</LinksUpToDate>
  <CharactersWithSpaces>2722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佳佳</cp:lastModifiedBy>
  <dcterms:modified xsi:type="dcterms:W3CDTF">2023-04-21T06:19:22Z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101FFD809E234ED49A4DFF1C357E9D16_13</vt:lpwstr>
  </property>
</Properties>
</file>